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2D" w:rsidRPr="009B1C2D" w:rsidRDefault="009B1C2D" w:rsidP="009B1C2D">
      <w:pPr>
        <w:spacing w:after="0"/>
        <w:jc w:val="right"/>
        <w:rPr>
          <w:rStyle w:val="a3"/>
          <w:color w:val="auto"/>
          <w:u w:val="none"/>
        </w:rPr>
      </w:pPr>
      <w:r w:rsidRPr="009B1C2D">
        <w:fldChar w:fldCharType="begin"/>
      </w:r>
      <w:r w:rsidRPr="009B1C2D">
        <w:instrText xml:space="preserve"> HYPERLINK "https://www.schoollife.org.ua/shhodo-metodychnyh-rekomendatsij-pro-vykladannya-navchalnyh-predmetiv-u-zakladah-zagalnoyi-serednoyi-osvity-u-2020-2021-navchalnomu-rotsi/" </w:instrText>
      </w:r>
      <w:r w:rsidRPr="009B1C2D">
        <w:fldChar w:fldCharType="separate"/>
      </w:r>
      <w:r w:rsidRPr="009B1C2D">
        <w:rPr>
          <w:rStyle w:val="a3"/>
          <w:color w:val="auto"/>
          <w:u w:val="none"/>
        </w:rPr>
        <w:t>Додаток</w:t>
      </w:r>
    </w:p>
    <w:p w:rsidR="009B1C2D" w:rsidRPr="009B1C2D" w:rsidRDefault="009B1C2D" w:rsidP="009B1C2D">
      <w:pPr>
        <w:spacing w:after="0"/>
        <w:jc w:val="right"/>
        <w:rPr>
          <w:rStyle w:val="a3"/>
          <w:color w:val="auto"/>
          <w:u w:val="none"/>
        </w:rPr>
      </w:pPr>
      <w:r w:rsidRPr="009B1C2D">
        <w:rPr>
          <w:rStyle w:val="a3"/>
          <w:color w:val="auto"/>
          <w:u w:val="none"/>
        </w:rPr>
        <w:t>до листа Міністерства освіти і</w:t>
      </w:r>
    </w:p>
    <w:p w:rsidR="009B1C2D" w:rsidRPr="009B1C2D" w:rsidRDefault="009B1C2D" w:rsidP="009B1C2D">
      <w:pPr>
        <w:spacing w:after="0"/>
        <w:jc w:val="right"/>
        <w:rPr>
          <w:rStyle w:val="a3"/>
          <w:color w:val="auto"/>
          <w:u w:val="none"/>
        </w:rPr>
      </w:pPr>
      <w:r w:rsidRPr="009B1C2D">
        <w:rPr>
          <w:rStyle w:val="a3"/>
          <w:color w:val="auto"/>
          <w:u w:val="none"/>
        </w:rPr>
        <w:t>науки України</w:t>
      </w:r>
    </w:p>
    <w:p w:rsidR="009B1C2D" w:rsidRPr="009B1C2D" w:rsidRDefault="009B1C2D" w:rsidP="009B1C2D">
      <w:pPr>
        <w:spacing w:after="0"/>
        <w:jc w:val="right"/>
      </w:pPr>
      <w:r w:rsidRPr="009B1C2D">
        <w:rPr>
          <w:rStyle w:val="a3"/>
          <w:color w:val="auto"/>
          <w:u w:val="none"/>
        </w:rPr>
        <w:t>від 11.08.2020 № 1/9-430</w:t>
      </w:r>
      <w:r w:rsidRPr="009B1C2D">
        <w:fldChar w:fldCharType="end"/>
      </w:r>
    </w:p>
    <w:p w:rsidR="009B1C2D" w:rsidRDefault="009B1C2D" w:rsidP="009B1C2D">
      <w:pPr>
        <w:rPr>
          <w:b/>
        </w:rPr>
      </w:pPr>
    </w:p>
    <w:p w:rsidR="009B1C2D" w:rsidRPr="009B1C2D" w:rsidRDefault="009B1C2D" w:rsidP="009B1C2D">
      <w:pPr>
        <w:rPr>
          <w:b/>
        </w:rPr>
      </w:pPr>
      <w:r w:rsidRPr="009B1C2D">
        <w:rPr>
          <w:b/>
        </w:rPr>
        <w:t>Методичні рекомендації про викладання фізики  у 2020/2021 навчальному році</w:t>
      </w:r>
    </w:p>
    <w:p w:rsidR="009B1C2D" w:rsidRPr="009B1C2D" w:rsidRDefault="009B1C2D" w:rsidP="009B1C2D">
      <w:r w:rsidRPr="009B1C2D">
        <w:t xml:space="preserve">Навчання фізики у 2020/2021 навчальному році у 7-9 класах здійснюватиметься за навчальною програмою, затвердженою наказом Міністерства освіти і науки України від 07.06.2017 № 804. Програму розміщено на офіційному вебсайті Міністерства освіти і науки України </w:t>
      </w:r>
      <w:hyperlink r:id="rId5">
        <w:r w:rsidRPr="009B1C2D">
          <w:rPr>
            <w:rStyle w:val="a3"/>
          </w:rPr>
          <w:t>(</w:t>
        </w:r>
      </w:hyperlink>
      <w:hyperlink r:id="rId6">
        <w:r w:rsidRPr="009B1C2D">
          <w:rPr>
            <w:rStyle w:val="a3"/>
          </w:rPr>
          <w:t>https://goo.gl/GDh9gC</w:t>
        </w:r>
      </w:hyperlink>
      <w:hyperlink r:id="rId7">
        <w:r w:rsidRPr="009B1C2D">
          <w:rPr>
            <w:rStyle w:val="a3"/>
          </w:rPr>
          <w:t>)</w:t>
        </w:r>
      </w:hyperlink>
      <w:r w:rsidRPr="009B1C2D">
        <w:t xml:space="preserve">. </w:t>
      </w:r>
      <w:bookmarkStart w:id="0" w:name="_GoBack"/>
      <w:bookmarkEnd w:id="0"/>
    </w:p>
    <w:p w:rsidR="009B1C2D" w:rsidRPr="009B1C2D" w:rsidRDefault="009B1C2D" w:rsidP="009B1C2D">
      <w:r w:rsidRPr="009B1C2D">
        <w:t xml:space="preserve">У 10 - 11 класах, відповідно до Типової освітньої програми закладів загальної середньої освіти ІІІ ступеня, затвердженої наказом МОН 20.04.2018 № 408 (в редакції наказу МОН від 28.11.2019 № 1493) вивчається базовий предмет «Фізика і астрономія». Вивчення цього предмета може здійснюватися у двох варіантах:  </w:t>
      </w:r>
    </w:p>
    <w:p w:rsidR="009B1C2D" w:rsidRPr="009B1C2D" w:rsidRDefault="009B1C2D" w:rsidP="009B1C2D">
      <w:pPr>
        <w:numPr>
          <w:ilvl w:val="0"/>
          <w:numId w:val="1"/>
        </w:numPr>
      </w:pPr>
      <w:r w:rsidRPr="009B1C2D">
        <w:t xml:space="preserve">як два окремі предмети - «Фізика» (за програмою авторського колективу під керівництвом Локтєва В. М.), «Астрономія» (за програмою авторського колективу під керівництвом Яцківа Я. Я.); у такому разі у навчальному плані (класному журналі) зазначаються два предмети (окремо фізика і окремо астрономія); у додаток до свідоцтва про здобуття повної загальної середньої освіти виставляються оцінки з двох предметів; </w:t>
      </w:r>
    </w:p>
    <w:p w:rsidR="009B1C2D" w:rsidRPr="009B1C2D" w:rsidRDefault="009B1C2D" w:rsidP="009B1C2D">
      <w:pPr>
        <w:numPr>
          <w:ilvl w:val="0"/>
          <w:numId w:val="1"/>
        </w:numPr>
      </w:pPr>
      <w:r w:rsidRPr="009B1C2D">
        <w:t xml:space="preserve">як один предмет «Фізика і астрономія» (за програмою авторського колективу під керівництвом Ляшенка О. І.); у такому разі можливе послідовне або паралельне вивчення фізичного і астрономічного складників, а розподіл годин між ними здійснюється відповідно до навчальної програми; у навчальному плані зазначається один предмет (фізика і астрономія); у додаток до свідоцтва про здобуття повної загальної середньої освіти виставляється одна оцінка; у класному журналі облік здійснюється окремо для фізичного і астрономічного складників, семестрова/річна оцінка виставляється на сторінці фізики з урахуванням тематичних оцінок з астрономії. </w:t>
      </w:r>
    </w:p>
    <w:p w:rsidR="009B1C2D" w:rsidRPr="009B1C2D" w:rsidRDefault="009B1C2D" w:rsidP="009B1C2D">
      <w:r w:rsidRPr="009B1C2D">
        <w:t>Програми для 10-11 класів розміщено на офіційному вебсайті Міністерства освіти і науки України (</w:t>
      </w:r>
      <w:hyperlink r:id="rId8">
        <w:r w:rsidRPr="009B1C2D">
          <w:rPr>
            <w:rStyle w:val="a3"/>
          </w:rPr>
          <w:t>https://mon.gov.ua/ua/osvita/zagalna</w:t>
        </w:r>
      </w:hyperlink>
      <w:hyperlink r:id="rId9"/>
      <w:hyperlink r:id="rId10">
        <w:r w:rsidRPr="009B1C2D">
          <w:rPr>
            <w:rStyle w:val="a3"/>
          </w:rPr>
          <w:t>serednya</w:t>
        </w:r>
      </w:hyperlink>
      <w:hyperlink r:id="rId11">
        <w:r w:rsidRPr="009B1C2D">
          <w:rPr>
            <w:rStyle w:val="a3"/>
          </w:rPr>
          <w:t>-</w:t>
        </w:r>
      </w:hyperlink>
      <w:hyperlink r:id="rId12">
        <w:r w:rsidRPr="009B1C2D">
          <w:rPr>
            <w:rStyle w:val="a3"/>
          </w:rPr>
          <w:t>osvita/navchalni</w:t>
        </w:r>
      </w:hyperlink>
      <w:hyperlink r:id="rId13">
        <w:r w:rsidRPr="009B1C2D">
          <w:rPr>
            <w:rStyle w:val="a3"/>
          </w:rPr>
          <w:t>-</w:t>
        </w:r>
      </w:hyperlink>
      <w:hyperlink r:id="rId14">
        <w:r w:rsidRPr="009B1C2D">
          <w:rPr>
            <w:rStyle w:val="a3"/>
          </w:rPr>
          <w:t>programi/navchalni</w:t>
        </w:r>
      </w:hyperlink>
      <w:hyperlink r:id="rId15">
        <w:r w:rsidRPr="009B1C2D">
          <w:rPr>
            <w:rStyle w:val="a3"/>
          </w:rPr>
          <w:t>-</w:t>
        </w:r>
      </w:hyperlink>
      <w:hyperlink r:id="rId16">
        <w:r w:rsidRPr="009B1C2D">
          <w:rPr>
            <w:rStyle w:val="a3"/>
          </w:rPr>
          <w:t>programi</w:t>
        </w:r>
      </w:hyperlink>
      <w:hyperlink r:id="rId17">
        <w:r w:rsidRPr="009B1C2D">
          <w:rPr>
            <w:rStyle w:val="a3"/>
          </w:rPr>
          <w:t>-</w:t>
        </w:r>
      </w:hyperlink>
      <w:hyperlink r:id="rId18">
        <w:r w:rsidRPr="009B1C2D">
          <w:rPr>
            <w:rStyle w:val="a3"/>
          </w:rPr>
          <w:t>dlya</w:t>
        </w:r>
      </w:hyperlink>
      <w:hyperlink r:id="rId19">
        <w:r w:rsidRPr="009B1C2D">
          <w:rPr>
            <w:rStyle w:val="a3"/>
          </w:rPr>
          <w:t>-</w:t>
        </w:r>
      </w:hyperlink>
      <w:hyperlink r:id="rId20">
        <w:r w:rsidRPr="009B1C2D">
          <w:rPr>
            <w:rStyle w:val="a3"/>
          </w:rPr>
          <w:t>10</w:t>
        </w:r>
      </w:hyperlink>
      <w:hyperlink r:id="rId21">
        <w:r w:rsidRPr="009B1C2D">
          <w:rPr>
            <w:rStyle w:val="a3"/>
          </w:rPr>
          <w:t>-</w:t>
        </w:r>
      </w:hyperlink>
      <w:hyperlink r:id="rId22">
        <w:r w:rsidRPr="009B1C2D">
          <w:rPr>
            <w:rStyle w:val="a3"/>
          </w:rPr>
          <w:t>11</w:t>
        </w:r>
      </w:hyperlink>
      <w:hyperlink r:id="rId23">
        <w:r w:rsidRPr="009B1C2D">
          <w:rPr>
            <w:rStyle w:val="a3"/>
          </w:rPr>
          <w:t>-</w:t>
        </w:r>
      </w:hyperlink>
      <w:hyperlink r:id="rId24">
        <w:r w:rsidRPr="009B1C2D">
          <w:rPr>
            <w:rStyle w:val="a3"/>
          </w:rPr>
          <w:t>klasiv</w:t>
        </w:r>
      </w:hyperlink>
      <w:hyperlink r:id="rId25">
        <w:r w:rsidRPr="009B1C2D">
          <w:rPr>
            <w:rStyle w:val="a3"/>
          </w:rPr>
          <w:t>)</w:t>
        </w:r>
      </w:hyperlink>
      <w:r w:rsidRPr="009B1C2D">
        <w:t xml:space="preserve">.  </w:t>
      </w:r>
    </w:p>
    <w:p w:rsidR="009B1C2D" w:rsidRPr="009B1C2D" w:rsidRDefault="009B1C2D" w:rsidP="009B1C2D">
      <w:r w:rsidRPr="009B1C2D">
        <w:t xml:space="preserve">Навчальні програми не містять фіксованого розподілу годин між розділами і темами курсу. У програмах наведена лише тижнева і загальна кількість годин на вивчення предмета. Розподіл кількості годин, що відводиться на вивчення окремих розділів, тем, визначається учителем. Також учитель самостійно визначає порядок вивчення тем та місце проведення лабораторних робіт, лабораторних практикумів, практикумів з розв’язування задач тощо. </w:t>
      </w:r>
    </w:p>
    <w:p w:rsidR="009B1C2D" w:rsidRPr="009B1C2D" w:rsidRDefault="009B1C2D" w:rsidP="009B1C2D">
      <w:r w:rsidRPr="009B1C2D">
        <w:lastRenderedPageBreak/>
        <w:t xml:space="preserve">Навчальними програмами з фізики визначено перелік демонстраційних експериментів та лабораторних робіт, необхідних для забезпечення реалізації Державного стандарту базової і повної загальної середньої освіти. Водночас учитель,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 кілька робіт в одну залежно від обраного плану вивчення певної теми. Окремі лабораторні роботи можуть виконуватись учнями або як домашні завдання або як учнівські навчальні проєкти, а також виконуватись з використанням цифрових лабораторій (цифрових вимірювальних комплексів), комп’ютерних моделей, віртуальних симуляцій і віртуальної фізичної лабораторії. Разом з тим, в освітньому процесі модельний віртуальний експеримент не може в повній мірі замінити лабораторні роботи, які виконуються з використанням реального обладнання.  </w:t>
      </w:r>
    </w:p>
    <w:p w:rsidR="009B1C2D" w:rsidRPr="009B1C2D" w:rsidRDefault="009B1C2D" w:rsidP="009B1C2D">
      <w:r w:rsidRPr="009B1C2D">
        <w:t xml:space="preserve">Важливим засобом формування предметної та ключових компетентностей під час вивчення фізики є навчальний фізичний експеримент, який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формуються суб’єктивно нові особистісні знання, а також дидактично забезпечує процесуальну складову навчання фізики й формує в учнів експериментальні вміння й дослідницькі навички. </w:t>
      </w:r>
    </w:p>
    <w:p w:rsidR="009B1C2D" w:rsidRPr="009B1C2D" w:rsidRDefault="009B1C2D" w:rsidP="009B1C2D">
      <w:r w:rsidRPr="009B1C2D">
        <w:t xml:space="preserve">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на формування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причино-наслідкові зв’язки, коли не спрацьовують типові варіанти рішення тощо).    Саме тоді створюються умови для включення механізмів формування компетентності, здатності діяти в конкретних умовах і досягти результату. </w:t>
      </w:r>
    </w:p>
    <w:p w:rsidR="009B1C2D" w:rsidRPr="009B1C2D" w:rsidRDefault="009B1C2D" w:rsidP="009B1C2D">
      <w:r w:rsidRPr="009B1C2D">
        <w:t xml:space="preserve">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проєкти, конструювання, моделювання тощо), що дають змогу їх виявити. Отже, якщо учень/учениця був/ла відсутній/я на уроці, на якому виконувалась фронтальна лабораторна робота, відпрацьовувати її в </w:t>
      </w:r>
      <w:r w:rsidRPr="009B1C2D">
        <w:lastRenderedPageBreak/>
        <w:t xml:space="preserve">позаурочний час не обов’язково. Головне, щоб упродовж вивчення розділу учень/учениця показали свої експериментальні вміння й навички в інших видах роботи. </w:t>
      </w:r>
    </w:p>
    <w:p w:rsidR="009B1C2D" w:rsidRPr="009B1C2D" w:rsidRDefault="009B1C2D" w:rsidP="009B1C2D">
      <w:r w:rsidRPr="009B1C2D">
        <w:t xml:space="preserve">У процесі навчання фізики ефективним засобом формування компетентностей є також і навчальні проєкти. Під час виконання яких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У проєктній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9B1C2D" w:rsidRPr="009B1C2D" w:rsidRDefault="009B1C2D" w:rsidP="009B1C2D">
      <w:r w:rsidRPr="009B1C2D">
        <w:t xml:space="preserve">Упродовж року учень обов’язково виконує один навчальний проєкт (індивідуальний або груповий). За бажанням учні можуть брати участь і виконувати кілька проєктів. Захист навчальних проєктів, обговорення, узагальнення та оцінювання отриманих результатів відбувається на спеціально відведених заняттях. Окрім оцінювання продукту проєктної діяльності, необхідно відстежувати і його психолого-педагогічний ефект: формування особистісних якостей, самооцінки, уміння робити усвідомлений вибір й осмислювати його наслідки. Оцінки за навчальні проєкти виконують стимулюючу функцію, можуть фіксуватися в портфоліо і враховуються в тематичному оцінюванні.  </w:t>
      </w:r>
    </w:p>
    <w:p w:rsidR="009B1C2D" w:rsidRPr="009B1C2D" w:rsidRDefault="009B1C2D" w:rsidP="009B1C2D">
      <w:r w:rsidRPr="009B1C2D">
        <w:t xml:space="preserve">Важливою ділянкою роботи в системі навчання фізики в школі є розв’язування задач. Задачі різних типів можна ефективно використовувати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 </w:t>
      </w:r>
    </w:p>
    <w:p w:rsidR="009B1C2D" w:rsidRPr="009B1C2D" w:rsidRDefault="009B1C2D" w:rsidP="009B1C2D">
      <w:r w:rsidRPr="009B1C2D">
        <w:t xml:space="preserve">Необхідними складниками освітнього процесу з фізики є навчальні екскурсії. Кількість екскурсій та час проведення їх визначаються вчителем за погодженням з адміністрацією закладу освіти. Оцінювання навчальних досягнень учнів за результатами таких екскурсій здійснюється на розсуд учителя. </w:t>
      </w:r>
    </w:p>
    <w:p w:rsidR="009B1C2D" w:rsidRPr="009B1C2D" w:rsidRDefault="009B1C2D" w:rsidP="009B1C2D">
      <w:r w:rsidRPr="009B1C2D">
        <w:t xml:space="preserve">У зв’язку із дистанційною формою освітнього процесу у березні – червні 2019/2020 навчального року (під час карантину, встановленого з метою запобігання поширенню на території України гострої респіраторної хвороби COVID-19, спричиненої коронавірусом SARS-CoV-2) пропонуємо у 2020/2021 навчальному році навчання фізики у 8-11 класах розпочати із ґрунтовного повторення матеріалу попереднього класу навчання. Для цього доцільно </w:t>
      </w:r>
      <w:r w:rsidRPr="009B1C2D">
        <w:lastRenderedPageBreak/>
        <w:t xml:space="preserve">використати резервні години і запланувати навчальні годин на вивчення теми «Повторення». Плануючи повторення слід врахувати, що частину лабораторних, практичних робіт тощо, передбачених навчальними програмами, учні виконували під час карантину на дистанційному навчанні. Тому під час повторення доцільно виділити навчальний час для проведення таких робіт, з метою формування відповідних практичних навичок.    </w:t>
      </w:r>
    </w:p>
    <w:p w:rsidR="009B1C2D" w:rsidRPr="009B1C2D" w:rsidRDefault="009B1C2D" w:rsidP="009B1C2D">
      <w:r w:rsidRPr="009B1C2D">
        <w:t>Організація освітнього процесу у 2020/2021 навчального році має реалізуватися також з урахуванням результатів міжнародного дослідження якості освіти PISA-2018, у якому Україна брала участь вперше. 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(режим доступу:</w:t>
      </w:r>
      <w:hyperlink r:id="rId26">
        <w:r w:rsidRPr="009B1C2D">
          <w:rPr>
            <w:rStyle w:val="a3"/>
          </w:rPr>
          <w:t xml:space="preserve"> </w:t>
        </w:r>
      </w:hyperlink>
      <w:hyperlink r:id="rId27">
        <w:r w:rsidRPr="009B1C2D">
          <w:rPr>
            <w:rStyle w:val="a3"/>
          </w:rPr>
          <w:t>https://testportal.gov.ua/zvity</w:t>
        </w:r>
      </w:hyperlink>
      <w:hyperlink r:id="rId28"/>
      <w:hyperlink r:id="rId29">
        <w:r w:rsidRPr="009B1C2D">
          <w:rPr>
            <w:rStyle w:val="a3"/>
          </w:rPr>
          <w:t>dani</w:t>
        </w:r>
      </w:hyperlink>
      <w:hyperlink r:id="rId30">
        <w:r w:rsidRPr="009B1C2D">
          <w:rPr>
            <w:rStyle w:val="a3"/>
          </w:rPr>
          <w:t>-</w:t>
        </w:r>
      </w:hyperlink>
      <w:hyperlink r:id="rId31">
        <w:r w:rsidRPr="009B1C2D">
          <w:rPr>
            <w:rStyle w:val="a3"/>
          </w:rPr>
          <w:t>4/</w:t>
        </w:r>
      </w:hyperlink>
      <w:hyperlink r:id="rId32">
        <w:r w:rsidRPr="009B1C2D">
          <w:rPr>
            <w:rStyle w:val="a3"/>
          </w:rPr>
          <w:t>)</w:t>
        </w:r>
      </w:hyperlink>
      <w:r w:rsidRPr="009B1C2D">
        <w:t xml:space="preserve"> </w:t>
      </w:r>
    </w:p>
    <w:p w:rsidR="009B1C2D" w:rsidRPr="009B1C2D" w:rsidRDefault="009B1C2D" w:rsidP="009B1C2D">
      <w:r w:rsidRPr="009B1C2D">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9B1C2D" w:rsidRPr="009B1C2D" w:rsidRDefault="009B1C2D" w:rsidP="009B1C2D">
      <w:r w:rsidRPr="009B1C2D">
        <w:t>За результатами міжнародного дослідження в галузі природничо</w:t>
      </w:r>
      <w:r>
        <w:t>-</w:t>
      </w:r>
      <w:r w:rsidRPr="009B1C2D">
        <w:t xml:space="preserve">наукових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9B1C2D" w:rsidRPr="009B1C2D" w:rsidRDefault="009B1C2D" w:rsidP="009B1C2D">
      <w:r w:rsidRPr="009B1C2D">
        <w:t>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w:t>
      </w:r>
      <w:r>
        <w:t>-</w:t>
      </w:r>
      <w:r w:rsidRPr="009B1C2D">
        <w:t xml:space="preserve">наукової грамотності досягають 21 % здобувачів освіти. У загальному рейтингу всіх 78-и </w:t>
      </w:r>
      <w:r w:rsidRPr="009B1C2D">
        <w:lastRenderedPageBreak/>
        <w:t xml:space="preserve">країн, які взяли участь у PISA-2018, Україна займає з природничо-наукової компетентності – 35-42 позиції. </w:t>
      </w:r>
    </w:p>
    <w:p w:rsidR="009B1C2D" w:rsidRPr="009B1C2D" w:rsidRDefault="009B1C2D" w:rsidP="009B1C2D">
      <w:r w:rsidRPr="009B1C2D">
        <w:t>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33">
        <w:r w:rsidRPr="009B1C2D">
          <w:rPr>
            <w:rStyle w:val="a3"/>
          </w:rPr>
          <w:t>http</w:t>
        </w:r>
      </w:hyperlink>
      <w:hyperlink r:id="rId34">
        <w:r w:rsidRPr="009B1C2D">
          <w:rPr>
            <w:rStyle w:val="a3"/>
          </w:rPr>
          <w:t>://</w:t>
        </w:r>
      </w:hyperlink>
      <w:hyperlink r:id="rId35">
        <w:r w:rsidRPr="009B1C2D">
          <w:rPr>
            <w:rStyle w:val="a3"/>
          </w:rPr>
          <w:t>undip</w:t>
        </w:r>
      </w:hyperlink>
      <w:hyperlink r:id="rId36">
        <w:r w:rsidRPr="009B1C2D">
          <w:rPr>
            <w:rStyle w:val="a3"/>
          </w:rPr>
          <w:t>.</w:t>
        </w:r>
      </w:hyperlink>
      <w:hyperlink r:id="rId37">
        <w:r w:rsidRPr="009B1C2D">
          <w:rPr>
            <w:rStyle w:val="a3"/>
          </w:rPr>
          <w:t>org</w:t>
        </w:r>
      </w:hyperlink>
      <w:hyperlink r:id="rId38">
        <w:r w:rsidRPr="009B1C2D">
          <w:rPr>
            <w:rStyle w:val="a3"/>
          </w:rPr>
          <w:t>/</w:t>
        </w:r>
      </w:hyperlink>
      <w:hyperlink r:id="rId39">
        <w:r w:rsidRPr="009B1C2D">
          <w:rPr>
            <w:rStyle w:val="a3"/>
          </w:rPr>
          <w:t>ua</w:t>
        </w:r>
      </w:hyperlink>
      <w:hyperlink r:id="rId40">
        <w:r w:rsidRPr="009B1C2D">
          <w:rPr>
            <w:rStyle w:val="a3"/>
          </w:rPr>
          <w:t>/</w:t>
        </w:r>
      </w:hyperlink>
      <w:hyperlink r:id="rId41">
        <w:r w:rsidRPr="009B1C2D">
          <w:rPr>
            <w:rStyle w:val="a3"/>
          </w:rPr>
          <w:t>news</w:t>
        </w:r>
      </w:hyperlink>
      <w:hyperlink r:id="rId42">
        <w:r w:rsidRPr="009B1C2D">
          <w:rPr>
            <w:rStyle w:val="a3"/>
          </w:rPr>
          <w:t>/</w:t>
        </w:r>
      </w:hyperlink>
      <w:hyperlink r:id="rId43">
        <w:r w:rsidRPr="009B1C2D">
          <w:rPr>
            <w:rStyle w:val="a3"/>
          </w:rPr>
          <w:t>labrary</w:t>
        </w:r>
      </w:hyperlink>
      <w:hyperlink r:id="rId44">
        <w:r w:rsidRPr="009B1C2D">
          <w:rPr>
            <w:rStyle w:val="a3"/>
          </w:rPr>
          <w:t>/</w:t>
        </w:r>
      </w:hyperlink>
      <w:hyperlink r:id="rId45">
        <w:r w:rsidRPr="009B1C2D">
          <w:rPr>
            <w:rStyle w:val="a3"/>
          </w:rPr>
          <w:t>metod</w:t>
        </w:r>
      </w:hyperlink>
      <w:hyperlink r:id="rId46">
        <w:r w:rsidRPr="009B1C2D">
          <w:rPr>
            <w:rStyle w:val="a3"/>
          </w:rPr>
          <w:t>_</w:t>
        </w:r>
      </w:hyperlink>
      <w:hyperlink r:id="rId47">
        <w:r w:rsidRPr="009B1C2D">
          <w:rPr>
            <w:rStyle w:val="a3"/>
          </w:rPr>
          <w:t>rekom</w:t>
        </w:r>
      </w:hyperlink>
      <w:hyperlink r:id="rId48">
        <w:r w:rsidRPr="009B1C2D">
          <w:rPr>
            <w:rStyle w:val="a3"/>
          </w:rPr>
          <w:t>_</w:t>
        </w:r>
      </w:hyperlink>
      <w:hyperlink r:id="rId49">
        <w:r w:rsidRPr="009B1C2D">
          <w:rPr>
            <w:rStyle w:val="a3"/>
          </w:rPr>
          <w:t>detail</w:t>
        </w:r>
      </w:hyperlink>
      <w:hyperlink r:id="rId50">
        <w:r w:rsidRPr="009B1C2D">
          <w:rPr>
            <w:rStyle w:val="a3"/>
          </w:rPr>
          <w:t>.</w:t>
        </w:r>
      </w:hyperlink>
      <w:hyperlink r:id="rId51">
        <w:r w:rsidRPr="009B1C2D">
          <w:rPr>
            <w:rStyle w:val="a3"/>
          </w:rPr>
          <w:t>php</w:t>
        </w:r>
      </w:hyperlink>
      <w:hyperlink r:id="rId52">
        <w:r w:rsidRPr="009B1C2D">
          <w:rPr>
            <w:rStyle w:val="a3"/>
          </w:rPr>
          <w:t>&amp;</w:t>
        </w:r>
      </w:hyperlink>
      <w:hyperlink r:id="rId53">
        <w:r w:rsidRPr="009B1C2D">
          <w:rPr>
            <w:rStyle w:val="a3"/>
          </w:rPr>
          <w:t>ID</w:t>
        </w:r>
      </w:hyperlink>
      <w:hyperlink r:id="rId54">
        <w:r w:rsidRPr="009B1C2D">
          <w:rPr>
            <w:rStyle w:val="a3"/>
          </w:rPr>
          <w:t>=9825</w:t>
        </w:r>
      </w:hyperlink>
      <w:hyperlink r:id="rId55">
        <w:r w:rsidRPr="009B1C2D">
          <w:rPr>
            <w:rStyle w:val="a3"/>
          </w:rPr>
          <w:t>)</w:t>
        </w:r>
      </w:hyperlink>
      <w:r w:rsidRPr="009B1C2D">
        <w:t xml:space="preserve"> та в Електронній бібліотеці НАПН України (</w:t>
      </w:r>
      <w:hyperlink r:id="rId56">
        <w:r w:rsidRPr="009B1C2D">
          <w:rPr>
            <w:rStyle w:val="a3"/>
          </w:rPr>
          <w:t>http</w:t>
        </w:r>
      </w:hyperlink>
      <w:hyperlink r:id="rId57">
        <w:r w:rsidRPr="009B1C2D">
          <w:rPr>
            <w:rStyle w:val="a3"/>
          </w:rPr>
          <w:t>://</w:t>
        </w:r>
      </w:hyperlink>
      <w:hyperlink r:id="rId58">
        <w:r w:rsidRPr="009B1C2D">
          <w:rPr>
            <w:rStyle w:val="a3"/>
          </w:rPr>
          <w:t>lib</w:t>
        </w:r>
      </w:hyperlink>
      <w:hyperlink r:id="rId59">
        <w:r w:rsidRPr="009B1C2D">
          <w:rPr>
            <w:rStyle w:val="a3"/>
          </w:rPr>
          <w:t>.</w:t>
        </w:r>
      </w:hyperlink>
      <w:hyperlink r:id="rId60">
        <w:r w:rsidRPr="009B1C2D">
          <w:rPr>
            <w:rStyle w:val="a3"/>
          </w:rPr>
          <w:t>iitta</w:t>
        </w:r>
      </w:hyperlink>
      <w:hyperlink r:id="rId61">
        <w:r w:rsidRPr="009B1C2D">
          <w:rPr>
            <w:rStyle w:val="a3"/>
          </w:rPr>
          <w:t>.</w:t>
        </w:r>
      </w:hyperlink>
      <w:hyperlink r:id="rId62">
        <w:r w:rsidRPr="009B1C2D">
          <w:rPr>
            <w:rStyle w:val="a3"/>
          </w:rPr>
          <w:t>gov</w:t>
        </w:r>
      </w:hyperlink>
      <w:hyperlink r:id="rId63">
        <w:r w:rsidRPr="009B1C2D">
          <w:rPr>
            <w:rStyle w:val="a3"/>
          </w:rPr>
          <w:t>.</w:t>
        </w:r>
      </w:hyperlink>
      <w:hyperlink r:id="rId64">
        <w:r w:rsidRPr="009B1C2D">
          <w:rPr>
            <w:rStyle w:val="a3"/>
          </w:rPr>
          <w:t>ua</w:t>
        </w:r>
      </w:hyperlink>
      <w:hyperlink r:id="rId65">
        <w:r w:rsidRPr="009B1C2D">
          <w:rPr>
            <w:rStyle w:val="a3"/>
          </w:rPr>
          <w:t>)</w:t>
        </w:r>
      </w:hyperlink>
      <w:r w:rsidRPr="009B1C2D">
        <w:t xml:space="preserve"> </w:t>
      </w:r>
    </w:p>
    <w:p w:rsidR="009B1C2D" w:rsidRPr="009B1C2D" w:rsidRDefault="009B1C2D" w:rsidP="009B1C2D">
      <w:r w:rsidRPr="009B1C2D">
        <w:t xml:space="preserve">Методичні рекомендації щодо викладання хімії в 7-11 класах містяться в інструктивно-методичних листах Міністерства освіти і науки України, підготовлених до використання у 2015/2016, 2016/2017, 2017/2018, 2018/2019 та 2019/2020 навчальних роках. </w:t>
      </w:r>
    </w:p>
    <w:p w:rsidR="009B1C2D" w:rsidRPr="009B1C2D" w:rsidRDefault="009B1C2D" w:rsidP="009B1C2D">
      <w:r w:rsidRPr="009B1C2D">
        <w:t xml:space="preserve">Навчальна та методична література для вивчення предметів «Фізика», «Астрономія», «Фізика і астрономія» наведена у Переліку навчальних програм, підручників та навчально-методичних посібників, рекомендованих Міністерством освіти і науки України на 2020/2021 навчальний рік, що розміщені на вебсайтах МОН, ДНУ «Інститут модернізації змісту освіти». </w:t>
      </w:r>
    </w:p>
    <w:p w:rsidR="002928CE" w:rsidRPr="009B1C2D" w:rsidRDefault="002928CE"/>
    <w:sectPr w:rsidR="002928CE" w:rsidRPr="009B1C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8294C"/>
    <w:multiLevelType w:val="hybridMultilevel"/>
    <w:tmpl w:val="0044AA86"/>
    <w:lvl w:ilvl="0" w:tplc="414C83BC">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0A2A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5A7B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8E2C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C5D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9A6B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20C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4A33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E20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2D"/>
    <w:rsid w:val="002928CE"/>
    <w:rsid w:val="006A2C76"/>
    <w:rsid w:val="009B1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C91AD-B7E0-4187-BA8E-497B66C7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stportal.gov.ua/zvity-dani-4/" TargetMode="External"/><Relationship Id="rId21" Type="http://schemas.openxmlformats.org/officeDocument/2006/relationships/hyperlink" Target="https://mon.gov.ua/ua/osvita/zagalna-serednya-osvita/navchalni-programi/navchalni-programi-dlya-10-11-klasiv" TargetMode="External"/><Relationship Id="rId34" Type="http://schemas.openxmlformats.org/officeDocument/2006/relationships/hyperlink" Target="http://undip.org/ua/news/labrary/metod_rekom_detail.php&amp;ID=9825" TargetMode="External"/><Relationship Id="rId42" Type="http://schemas.openxmlformats.org/officeDocument/2006/relationships/hyperlink" Target="http://undip.org/ua/news/labrary/metod_rekom_detail.php&amp;ID=9825" TargetMode="External"/><Relationship Id="rId47" Type="http://schemas.openxmlformats.org/officeDocument/2006/relationships/hyperlink" Target="http://undip.org/ua/news/labrary/metod_rekom_detail.php&amp;ID=9825" TargetMode="External"/><Relationship Id="rId50" Type="http://schemas.openxmlformats.org/officeDocument/2006/relationships/hyperlink" Target="http://undip.org/ua/news/labrary/metod_rekom_detail.php&amp;ID=9825" TargetMode="External"/><Relationship Id="rId55" Type="http://schemas.openxmlformats.org/officeDocument/2006/relationships/hyperlink" Target="http://undip.org/ua/news/labrary/metod_rekom_detail.php&amp;ID=9825" TargetMode="External"/><Relationship Id="rId63" Type="http://schemas.openxmlformats.org/officeDocument/2006/relationships/hyperlink" Target="http://lib.iitta.gov.ua/" TargetMode="External"/><Relationship Id="rId7" Type="http://schemas.openxmlformats.org/officeDocument/2006/relationships/hyperlink" Target="https://goo.gl/GDh9gC" TargetMode="External"/><Relationship Id="rId2" Type="http://schemas.openxmlformats.org/officeDocument/2006/relationships/styles" Target="styles.xml"/><Relationship Id="rId16" Type="http://schemas.openxmlformats.org/officeDocument/2006/relationships/hyperlink" Target="https://mon.gov.ua/ua/osvita/zagalna-serednya-osvita/navchalni-programi/navchalni-programi-dlya-10-11-klasiv" TargetMode="External"/><Relationship Id="rId29" Type="http://schemas.openxmlformats.org/officeDocument/2006/relationships/hyperlink" Target="https://testportal.gov.ua/zvity-dani-4/" TargetMode="External"/><Relationship Id="rId11" Type="http://schemas.openxmlformats.org/officeDocument/2006/relationships/hyperlink" Target="https://mon.gov.ua/ua/osvita/zagalna-serednya-osvita/navchalni-programi/navchalni-programi-dlya-10-11-klasiv" TargetMode="External"/><Relationship Id="rId24" Type="http://schemas.openxmlformats.org/officeDocument/2006/relationships/hyperlink" Target="https://mon.gov.ua/ua/osvita/zagalna-serednya-osvita/navchalni-programi/navchalni-programi-dlya-10-11-klasiv" TargetMode="External"/><Relationship Id="rId32" Type="http://schemas.openxmlformats.org/officeDocument/2006/relationships/hyperlink" Target="https://testportal.gov.ua/zvity-dani-4/" TargetMode="External"/><Relationship Id="rId37" Type="http://schemas.openxmlformats.org/officeDocument/2006/relationships/hyperlink" Target="http://undip.org/ua/news/labrary/metod_rekom_detail.php&amp;ID=9825" TargetMode="External"/><Relationship Id="rId40" Type="http://schemas.openxmlformats.org/officeDocument/2006/relationships/hyperlink" Target="http://undip.org/ua/news/labrary/metod_rekom_detail.php&amp;ID=9825" TargetMode="External"/><Relationship Id="rId45" Type="http://schemas.openxmlformats.org/officeDocument/2006/relationships/hyperlink" Target="http://undip.org/ua/news/labrary/metod_rekom_detail.php&amp;ID=9825" TargetMode="External"/><Relationship Id="rId53" Type="http://schemas.openxmlformats.org/officeDocument/2006/relationships/hyperlink" Target="http://undip.org/ua/news/labrary/metod_rekom_detail.php&amp;ID=9825" TargetMode="External"/><Relationship Id="rId58" Type="http://schemas.openxmlformats.org/officeDocument/2006/relationships/hyperlink" Target="http://lib.iitta.gov.ua/" TargetMode="External"/><Relationship Id="rId66" Type="http://schemas.openxmlformats.org/officeDocument/2006/relationships/fontTable" Target="fontTable.xml"/><Relationship Id="rId5" Type="http://schemas.openxmlformats.org/officeDocument/2006/relationships/hyperlink" Target="https://goo.gl/GDh9gC" TargetMode="External"/><Relationship Id="rId61" Type="http://schemas.openxmlformats.org/officeDocument/2006/relationships/hyperlink" Target="http://lib.iitta.gov.ua/" TargetMode="External"/><Relationship Id="rId19" Type="http://schemas.openxmlformats.org/officeDocument/2006/relationships/hyperlink" Target="https://mon.gov.ua/ua/osvita/zagalna-serednya-osvita/navchalni-programi/navchalni-programi-dlya-10-11-klasiv" TargetMode="External"/><Relationship Id="rId14" Type="http://schemas.openxmlformats.org/officeDocument/2006/relationships/hyperlink" Target="https://mon.gov.ua/ua/osvita/zagalna-serednya-osvita/navchalni-programi/navchalni-programi-dlya-10-11-klasiv" TargetMode="External"/><Relationship Id="rId22" Type="http://schemas.openxmlformats.org/officeDocument/2006/relationships/hyperlink" Target="https://mon.gov.ua/ua/osvita/zagalna-serednya-osvita/navchalni-programi/navchalni-programi-dlya-10-11-klasiv" TargetMode="External"/><Relationship Id="rId27" Type="http://schemas.openxmlformats.org/officeDocument/2006/relationships/hyperlink" Target="https://testportal.gov.ua/zvity-dani-4/" TargetMode="External"/><Relationship Id="rId30" Type="http://schemas.openxmlformats.org/officeDocument/2006/relationships/hyperlink" Target="https://testportal.gov.ua/zvity-dani-4/" TargetMode="External"/><Relationship Id="rId35" Type="http://schemas.openxmlformats.org/officeDocument/2006/relationships/hyperlink" Target="http://undip.org/ua/news/labrary/metod_rekom_detail.php&amp;ID=9825" TargetMode="External"/><Relationship Id="rId43" Type="http://schemas.openxmlformats.org/officeDocument/2006/relationships/hyperlink" Target="http://undip.org/ua/news/labrary/metod_rekom_detail.php&amp;ID=9825" TargetMode="External"/><Relationship Id="rId48" Type="http://schemas.openxmlformats.org/officeDocument/2006/relationships/hyperlink" Target="http://undip.org/ua/news/labrary/metod_rekom_detail.php&amp;ID=9825" TargetMode="External"/><Relationship Id="rId56" Type="http://schemas.openxmlformats.org/officeDocument/2006/relationships/hyperlink" Target="http://lib.iitta.gov.ua/" TargetMode="External"/><Relationship Id="rId64" Type="http://schemas.openxmlformats.org/officeDocument/2006/relationships/hyperlink" Target="http://lib.iitta.gov.ua/" TargetMode="External"/><Relationship Id="rId8" Type="http://schemas.openxmlformats.org/officeDocument/2006/relationships/hyperlink" Target="https://mon.gov.ua/ua/osvita/zagalna-serednya-osvita/navchalni-programi/navchalni-programi-dlya-10-11-klasiv" TargetMode="External"/><Relationship Id="rId51" Type="http://schemas.openxmlformats.org/officeDocument/2006/relationships/hyperlink" Target="http://undip.org/ua/news/labrary/metod_rekom_detail.php&amp;ID=9825" TargetMode="External"/><Relationship Id="rId3" Type="http://schemas.openxmlformats.org/officeDocument/2006/relationships/settings" Target="settings.xml"/><Relationship Id="rId12" Type="http://schemas.openxmlformats.org/officeDocument/2006/relationships/hyperlink" Target="https://mon.gov.ua/ua/osvita/zagalna-serednya-osvita/navchalni-programi/navchalni-programi-dlya-10-11-klasiv" TargetMode="External"/><Relationship Id="rId17" Type="http://schemas.openxmlformats.org/officeDocument/2006/relationships/hyperlink" Target="https://mon.gov.ua/ua/osvita/zagalna-serednya-osvita/navchalni-programi/navchalni-programi-dlya-10-11-klasiv" TargetMode="External"/><Relationship Id="rId25" Type="http://schemas.openxmlformats.org/officeDocument/2006/relationships/hyperlink" Target="https://mon.gov.ua/ua/osvita/zagalna-serednya-osvita/navchalni-programi/navchalni-programi-dlya-10-11-klasiv" TargetMode="External"/><Relationship Id="rId33" Type="http://schemas.openxmlformats.org/officeDocument/2006/relationships/hyperlink" Target="http://undip.org/ua/news/labrary/metod_rekom_detail.php&amp;ID=9825" TargetMode="External"/><Relationship Id="rId38" Type="http://schemas.openxmlformats.org/officeDocument/2006/relationships/hyperlink" Target="http://undip.org/ua/news/labrary/metod_rekom_detail.php&amp;ID=9825" TargetMode="External"/><Relationship Id="rId46" Type="http://schemas.openxmlformats.org/officeDocument/2006/relationships/hyperlink" Target="http://undip.org/ua/news/labrary/metod_rekom_detail.php&amp;ID=9825" TargetMode="External"/><Relationship Id="rId59" Type="http://schemas.openxmlformats.org/officeDocument/2006/relationships/hyperlink" Target="http://lib.iitta.gov.ua/" TargetMode="External"/><Relationship Id="rId67" Type="http://schemas.openxmlformats.org/officeDocument/2006/relationships/theme" Target="theme/theme1.xml"/><Relationship Id="rId20" Type="http://schemas.openxmlformats.org/officeDocument/2006/relationships/hyperlink" Target="https://mon.gov.ua/ua/osvita/zagalna-serednya-osvita/navchalni-programi/navchalni-programi-dlya-10-11-klasiv" TargetMode="External"/><Relationship Id="rId41" Type="http://schemas.openxmlformats.org/officeDocument/2006/relationships/hyperlink" Target="http://undip.org/ua/news/labrary/metod_rekom_detail.php&amp;ID=9825" TargetMode="External"/><Relationship Id="rId54" Type="http://schemas.openxmlformats.org/officeDocument/2006/relationships/hyperlink" Target="http://undip.org/ua/news/labrary/metod_rekom_detail.php&amp;ID=9825" TargetMode="External"/><Relationship Id="rId62" Type="http://schemas.openxmlformats.org/officeDocument/2006/relationships/hyperlink" Target="http://lib.iitta.gov.ua/" TargetMode="External"/><Relationship Id="rId1" Type="http://schemas.openxmlformats.org/officeDocument/2006/relationships/numbering" Target="numbering.xml"/><Relationship Id="rId6" Type="http://schemas.openxmlformats.org/officeDocument/2006/relationships/hyperlink" Target="https://goo.gl/GDh9gC" TargetMode="External"/><Relationship Id="rId15" Type="http://schemas.openxmlformats.org/officeDocument/2006/relationships/hyperlink" Target="https://mon.gov.ua/ua/osvita/zagalna-serednya-osvita/navchalni-programi/navchalni-programi-dlya-10-11-klasiv" TargetMode="External"/><Relationship Id="rId23" Type="http://schemas.openxmlformats.org/officeDocument/2006/relationships/hyperlink" Target="https://mon.gov.ua/ua/osvita/zagalna-serednya-osvita/navchalni-programi/navchalni-programi-dlya-10-11-klasiv" TargetMode="External"/><Relationship Id="rId28" Type="http://schemas.openxmlformats.org/officeDocument/2006/relationships/hyperlink" Target="https://testportal.gov.ua/zvity-dani-4/" TargetMode="External"/><Relationship Id="rId36" Type="http://schemas.openxmlformats.org/officeDocument/2006/relationships/hyperlink" Target="http://undip.org/ua/news/labrary/metod_rekom_detail.php&amp;ID=9825" TargetMode="External"/><Relationship Id="rId49" Type="http://schemas.openxmlformats.org/officeDocument/2006/relationships/hyperlink" Target="http://undip.org/ua/news/labrary/metod_rekom_detail.php&amp;ID=9825" TargetMode="External"/><Relationship Id="rId57" Type="http://schemas.openxmlformats.org/officeDocument/2006/relationships/hyperlink" Target="http://lib.iitta.gov.ua/" TargetMode="External"/><Relationship Id="rId10" Type="http://schemas.openxmlformats.org/officeDocument/2006/relationships/hyperlink" Target="https://mon.gov.ua/ua/osvita/zagalna-serednya-osvita/navchalni-programi/navchalni-programi-dlya-10-11-klasiv" TargetMode="External"/><Relationship Id="rId31" Type="http://schemas.openxmlformats.org/officeDocument/2006/relationships/hyperlink" Target="https://testportal.gov.ua/zvity-dani-4/" TargetMode="External"/><Relationship Id="rId44" Type="http://schemas.openxmlformats.org/officeDocument/2006/relationships/hyperlink" Target="http://undip.org/ua/news/labrary/metod_rekom_detail.php&amp;ID=9825" TargetMode="External"/><Relationship Id="rId52" Type="http://schemas.openxmlformats.org/officeDocument/2006/relationships/hyperlink" Target="http://undip.org/ua/news/labrary/metod_rekom_detail.php&amp;ID=9825" TargetMode="External"/><Relationship Id="rId60" Type="http://schemas.openxmlformats.org/officeDocument/2006/relationships/hyperlink" Target="http://lib.iitta.gov.ua/" TargetMode="External"/><Relationship Id="rId65" Type="http://schemas.openxmlformats.org/officeDocument/2006/relationships/hyperlink" Target="http://lib.iitta.gov.ua/"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dlya-10-11-klasiv" TargetMode="External"/><Relationship Id="rId13" Type="http://schemas.openxmlformats.org/officeDocument/2006/relationships/hyperlink" Target="https://mon.gov.ua/ua/osvita/zagalna-serednya-osvita/navchalni-programi/navchalni-programi-dlya-10-11-klasiv" TargetMode="External"/><Relationship Id="rId18" Type="http://schemas.openxmlformats.org/officeDocument/2006/relationships/hyperlink" Target="https://mon.gov.ua/ua/osvita/zagalna-serednya-osvita/navchalni-programi/navchalni-programi-dlya-10-11-klasiv" TargetMode="External"/><Relationship Id="rId39" Type="http://schemas.openxmlformats.org/officeDocument/2006/relationships/hyperlink" Target="http://undip.org/ua/news/labrary/metod_rekom_detail.php&amp;ID=982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11161</Words>
  <Characters>6362</Characters>
  <Application>Microsoft Office Word</Application>
  <DocSecurity>0</DocSecurity>
  <Lines>53</Lines>
  <Paragraphs>34</Paragraphs>
  <ScaleCrop>false</ScaleCrop>
  <Company/>
  <LinksUpToDate>false</LinksUpToDate>
  <CharactersWithSpaces>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2020-08-12T13:56:00Z</dcterms:created>
  <dcterms:modified xsi:type="dcterms:W3CDTF">2020-08-12T14:00:00Z</dcterms:modified>
</cp:coreProperties>
</file>